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5401" w14:textId="3E7505DF" w:rsidR="003A404C" w:rsidRDefault="00581499" w:rsidP="008C70B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823" w:firstLine="657"/>
        <w:rPr>
          <w:rFonts w:ascii="Times New Roman" w:hAnsi="Times New Roman"/>
          <w:szCs w:val="22"/>
        </w:rPr>
      </w:pPr>
      <w:r>
        <w:rPr>
          <w:rFonts w:ascii="Times New Roman" w:hAnsi="Times New Roman"/>
          <w:szCs w:val="22"/>
        </w:rPr>
        <w:t>T</w:t>
      </w:r>
      <w:r w:rsidR="006D5C0E">
        <w:rPr>
          <w:rFonts w:ascii="Times New Roman" w:hAnsi="Times New Roman"/>
          <w:szCs w:val="22"/>
        </w:rPr>
        <w:t>uzi</w:t>
      </w:r>
      <w:r w:rsidR="008C70B4" w:rsidRPr="005F2869">
        <w:rPr>
          <w:rFonts w:ascii="Times New Roman" w:hAnsi="Times New Roman"/>
          <w:szCs w:val="22"/>
        </w:rPr>
        <w:t xml:space="preserve">, </w:t>
      </w:r>
      <w:r w:rsidR="00FE7E12">
        <w:rPr>
          <w:rFonts w:ascii="Times New Roman" w:hAnsi="Times New Roman"/>
          <w:szCs w:val="22"/>
        </w:rPr>
        <w:t>0</w:t>
      </w:r>
      <w:r w:rsidR="006D5C0E">
        <w:rPr>
          <w:rFonts w:ascii="Times New Roman" w:hAnsi="Times New Roman"/>
          <w:szCs w:val="22"/>
        </w:rPr>
        <w:t>8</w:t>
      </w:r>
      <w:r w:rsidR="00FA14FA" w:rsidRPr="005F2869">
        <w:rPr>
          <w:rFonts w:ascii="Times New Roman" w:hAnsi="Times New Roman"/>
          <w:szCs w:val="22"/>
        </w:rPr>
        <w:t>/</w:t>
      </w:r>
      <w:r w:rsidR="005F2869" w:rsidRPr="005F2869">
        <w:rPr>
          <w:rFonts w:ascii="Times New Roman" w:hAnsi="Times New Roman"/>
          <w:szCs w:val="22"/>
        </w:rPr>
        <w:t>0</w:t>
      </w:r>
      <w:r w:rsidR="006D5C0E">
        <w:rPr>
          <w:rFonts w:ascii="Times New Roman" w:hAnsi="Times New Roman"/>
          <w:szCs w:val="22"/>
        </w:rPr>
        <w:t>5</w:t>
      </w:r>
      <w:r w:rsidR="00FA14FA" w:rsidRPr="005F2869">
        <w:rPr>
          <w:rFonts w:ascii="Times New Roman" w:hAnsi="Times New Roman"/>
          <w:szCs w:val="22"/>
        </w:rPr>
        <w:t>/202</w:t>
      </w:r>
      <w:r w:rsidR="006D5C0E">
        <w:rPr>
          <w:rFonts w:ascii="Times New Roman" w:hAnsi="Times New Roman"/>
          <w:szCs w:val="22"/>
        </w:rPr>
        <w:t>6</w:t>
      </w:r>
    </w:p>
    <w:p w14:paraId="25F25D51" w14:textId="77777777" w:rsidR="00753296" w:rsidRDefault="00753296" w:rsidP="00753296">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ind w:left="4320" w:firstLine="657"/>
        <w:rPr>
          <w:rFonts w:ascii="Times New Roman" w:hAnsi="Times New Roman"/>
          <w:szCs w:val="22"/>
        </w:rPr>
      </w:pPr>
      <w:r>
        <w:rPr>
          <w:rFonts w:ascii="Times New Roman" w:hAnsi="Times New Roman"/>
          <w:szCs w:val="22"/>
        </w:rPr>
        <w:t xml:space="preserve">       </w:t>
      </w:r>
      <w:r w:rsidR="004F72B6">
        <w:rPr>
          <w:rFonts w:ascii="Times New Roman" w:hAnsi="Times New Roman"/>
          <w:szCs w:val="22"/>
        </w:rPr>
        <w:tab/>
      </w:r>
      <w:r w:rsidR="004F72B6">
        <w:rPr>
          <w:rFonts w:ascii="Times New Roman" w:hAnsi="Times New Roman"/>
          <w:szCs w:val="22"/>
        </w:rPr>
        <w:tab/>
      </w:r>
    </w:p>
    <w:p w14:paraId="5DF2BF2F" w14:textId="77777777" w:rsidR="00753296" w:rsidRPr="005F2869" w:rsidRDefault="00753296" w:rsidP="00753296">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Pr>
          <w:rFonts w:ascii="Times New Roman" w:hAnsi="Times New Roman"/>
          <w:szCs w:val="22"/>
        </w:rPr>
        <w:t xml:space="preserve">                                                                                          </w:t>
      </w:r>
    </w:p>
    <w:p w14:paraId="449D4C99" w14:textId="77777777" w:rsidR="00871E1F" w:rsidRPr="00871E1F" w:rsidRDefault="00871E1F" w:rsidP="00871E1F">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sidRPr="00871E1F">
        <w:rPr>
          <w:rFonts w:ascii="Times New Roman" w:hAnsi="Times New Roman"/>
          <w:b/>
          <w:szCs w:val="22"/>
        </w:rPr>
        <w:t>Contracting Authority's Clarification</w:t>
      </w:r>
      <w:r>
        <w:rPr>
          <w:rFonts w:ascii="Times New Roman" w:hAnsi="Times New Roman"/>
          <w:b/>
          <w:szCs w:val="22"/>
        </w:rPr>
        <w:t xml:space="preserve"> No.1</w:t>
      </w:r>
    </w:p>
    <w:p w14:paraId="0F4A8CF1" w14:textId="77777777" w:rsidR="006D5C0E" w:rsidRPr="006D5C0E" w:rsidRDefault="006D5C0E" w:rsidP="006D5C0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sidRPr="006D5C0E">
        <w:rPr>
          <w:rFonts w:ascii="Times New Roman" w:hAnsi="Times New Roman"/>
          <w:b/>
          <w:szCs w:val="22"/>
        </w:rPr>
        <w:t>Installation of street public lighting as a pilot investment in Tuzi within ProLIGHTmed project</w:t>
      </w:r>
    </w:p>
    <w:p w14:paraId="6190558F" w14:textId="3A0DB0EC" w:rsidR="00BF798A" w:rsidRDefault="006D5C0E" w:rsidP="006D5C0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szCs w:val="22"/>
        </w:rPr>
      </w:pPr>
      <w:r w:rsidRPr="006D5C0E">
        <w:rPr>
          <w:rFonts w:ascii="Times New Roman" w:hAnsi="Times New Roman"/>
          <w:b/>
          <w:szCs w:val="22"/>
        </w:rPr>
        <w:t>Ref.no. 01-908/26-1828/1</w:t>
      </w:r>
      <w:bookmarkStart w:id="0" w:name="_GoBack"/>
      <w:bookmarkEnd w:id="0"/>
    </w:p>
    <w:p w14:paraId="224AD2E6" w14:textId="31EDFA30" w:rsidR="00871E1F" w:rsidRDefault="00871E1F"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 w:val="24"/>
          <w:szCs w:val="24"/>
          <w:highlight w:val="yellow"/>
        </w:rPr>
      </w:pPr>
      <w:r>
        <w:rPr>
          <w:rFonts w:ascii="Times New Roman" w:hAnsi="Times New Roman"/>
          <w:sz w:val="24"/>
          <w:szCs w:val="24"/>
        </w:rPr>
        <w:t>T</w:t>
      </w:r>
      <w:r w:rsidRPr="00B17132">
        <w:rPr>
          <w:rFonts w:ascii="Times New Roman" w:hAnsi="Times New Roman"/>
          <w:sz w:val="24"/>
          <w:szCs w:val="24"/>
        </w:rPr>
        <w:t xml:space="preserve">he </w:t>
      </w:r>
      <w:r>
        <w:rPr>
          <w:rFonts w:ascii="Times New Roman" w:hAnsi="Times New Roman"/>
          <w:sz w:val="24"/>
          <w:szCs w:val="24"/>
        </w:rPr>
        <w:t xml:space="preserve">following </w:t>
      </w:r>
      <w:r w:rsidRPr="00B17132">
        <w:rPr>
          <w:rFonts w:ascii="Times New Roman" w:hAnsi="Times New Roman"/>
          <w:sz w:val="24"/>
          <w:szCs w:val="24"/>
        </w:rPr>
        <w:t xml:space="preserve">table contains the answers to questions received </w:t>
      </w:r>
      <w:r>
        <w:rPr>
          <w:rFonts w:ascii="Times New Roman" w:hAnsi="Times New Roman"/>
          <w:sz w:val="24"/>
          <w:szCs w:val="24"/>
        </w:rPr>
        <w:t xml:space="preserve">by potential tenderers </w:t>
      </w:r>
      <w:r w:rsidRPr="00B17132">
        <w:rPr>
          <w:rFonts w:ascii="Times New Roman" w:hAnsi="Times New Roman"/>
          <w:sz w:val="24"/>
          <w:szCs w:val="24"/>
        </w:rPr>
        <w:t>to the functional e-mail address</w:t>
      </w:r>
      <w:r>
        <w:rPr>
          <w:rFonts w:ascii="Times New Roman" w:hAnsi="Times New Roman"/>
          <w:sz w:val="24"/>
          <w:szCs w:val="24"/>
        </w:rPr>
        <w:t xml:space="preserve">: </w:t>
      </w:r>
      <w:hyperlink r:id="rId10" w:history="1">
        <w:r w:rsidR="006D5C0E" w:rsidRPr="00BC2F31">
          <w:rPr>
            <w:rStyle w:val="Hyperlink"/>
          </w:rPr>
          <w:t>prolightmed@gmail.com</w:t>
        </w:r>
      </w:hyperlink>
      <w:r w:rsidR="006D5C0E">
        <w:t xml:space="preserve"> </w:t>
      </w:r>
      <w:r w:rsidR="00FE7E12">
        <w:t xml:space="preserve"> </w:t>
      </w:r>
      <w:r w:rsidR="00581499">
        <w:rPr>
          <w:rFonts w:ascii="Times New Roman" w:hAnsi="Times New Roman"/>
          <w:sz w:val="24"/>
          <w:szCs w:val="24"/>
        </w:rPr>
        <w:t xml:space="preserve"> </w:t>
      </w:r>
    </w:p>
    <w:p w14:paraId="2B899733" w14:textId="15932F40" w:rsidR="00A343F2" w:rsidRDefault="00A343F2"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 w:val="24"/>
          <w:szCs w:val="24"/>
        </w:rPr>
      </w:pPr>
    </w:p>
    <w:tbl>
      <w:tblPr>
        <w:tblStyle w:val="TableGrid1"/>
        <w:tblW w:w="0" w:type="auto"/>
        <w:tblLook w:val="04A0" w:firstRow="1" w:lastRow="0" w:firstColumn="1" w:lastColumn="0" w:noHBand="0" w:noVBand="1"/>
      </w:tblPr>
      <w:tblGrid>
        <w:gridCol w:w="588"/>
        <w:gridCol w:w="8196"/>
      </w:tblGrid>
      <w:tr w:rsidR="00A003C5" w:rsidRPr="00A003C5" w14:paraId="31C1E338" w14:textId="77777777" w:rsidTr="00135653">
        <w:tc>
          <w:tcPr>
            <w:tcW w:w="588" w:type="dxa"/>
          </w:tcPr>
          <w:p w14:paraId="6B385FD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w:t>
            </w:r>
          </w:p>
        </w:tc>
        <w:tc>
          <w:tcPr>
            <w:tcW w:w="8762" w:type="dxa"/>
          </w:tcPr>
          <w:p w14:paraId="6CC08BD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Submission of Tenders/Opening and Evaluating Tenders – To avoid any potential misunderstandings and to ensure full compliance with the submission requirements set out in the Bidding Documents, we kindly ask you to confirm whether a one-envelope procedure applies. Specifically, please clarify whether the bid shall be submitted as a single consolidated document, including qualification, technical, and financial proposals, in both paper and electronic form, and whether all components will be opened simultaneously. In the event that a one-envelope procedure does not apply, kindly provide detailed instructions on the applicable submission method, including how the different components of the bid (qualification, technical, and financial) should be packaged, labelled, and submitted, as well as the procedure and sequence for their opening.</w:t>
            </w:r>
          </w:p>
        </w:tc>
      </w:tr>
      <w:tr w:rsidR="00A003C5" w:rsidRPr="00A003C5" w14:paraId="6B3E88DA" w14:textId="77777777" w:rsidTr="00135653">
        <w:tc>
          <w:tcPr>
            <w:tcW w:w="588" w:type="dxa"/>
          </w:tcPr>
          <w:p w14:paraId="763697A8" w14:textId="6B1B351A"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w:t>
            </w:r>
          </w:p>
        </w:tc>
        <w:tc>
          <w:tcPr>
            <w:tcW w:w="8762" w:type="dxa"/>
          </w:tcPr>
          <w:p w14:paraId="276510B4"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All documents should be packed in one single envelope, the order of the documents is not relevant</w:t>
            </w:r>
          </w:p>
        </w:tc>
      </w:tr>
      <w:tr w:rsidR="00A003C5" w:rsidRPr="00A003C5" w14:paraId="22A4FC1F" w14:textId="77777777" w:rsidTr="00135653">
        <w:tc>
          <w:tcPr>
            <w:tcW w:w="588" w:type="dxa"/>
          </w:tcPr>
          <w:p w14:paraId="59150DA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Q2</w:t>
            </w:r>
          </w:p>
        </w:tc>
        <w:tc>
          <w:tcPr>
            <w:tcW w:w="8762" w:type="dxa"/>
          </w:tcPr>
          <w:p w14:paraId="17B8ABD6"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Submission of Tenders – Kindly confirm that, in accordance with Section 17.1, no additional digital copy (e.g., USB) of the proposal/tender is required.</w:t>
            </w:r>
          </w:p>
        </w:tc>
      </w:tr>
      <w:tr w:rsidR="00A003C5" w:rsidRPr="00A003C5" w14:paraId="2BF16161" w14:textId="77777777" w:rsidTr="00135653">
        <w:tc>
          <w:tcPr>
            <w:tcW w:w="588" w:type="dxa"/>
          </w:tcPr>
          <w:p w14:paraId="2E6900C3" w14:textId="0DD10B74"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2</w:t>
            </w:r>
          </w:p>
        </w:tc>
        <w:tc>
          <w:tcPr>
            <w:tcW w:w="8762" w:type="dxa"/>
          </w:tcPr>
          <w:p w14:paraId="0D4F07F8"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17.1.</w:t>
            </w:r>
            <w:r w:rsidRPr="00A003C5">
              <w:rPr>
                <w:rFonts w:ascii="Calibri" w:hAnsi="Calibri"/>
              </w:rPr>
              <w:tab/>
              <w:t>The complete tender must be submitted in one original, clearly marked ‘original’ and one copy, clearly marked ‘copy’. In the event of any discrepancy between them, the original will prevail. No additional digital copy (e.g., USB) of the proposal/tender is required.</w:t>
            </w:r>
          </w:p>
        </w:tc>
      </w:tr>
      <w:tr w:rsidR="00A003C5" w:rsidRPr="00A003C5" w14:paraId="1F6ECFAE" w14:textId="77777777" w:rsidTr="00135653">
        <w:tc>
          <w:tcPr>
            <w:tcW w:w="588" w:type="dxa"/>
          </w:tcPr>
          <w:p w14:paraId="6631872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Q3</w:t>
            </w:r>
          </w:p>
        </w:tc>
        <w:tc>
          <w:tcPr>
            <w:tcW w:w="8762" w:type="dxa"/>
          </w:tcPr>
          <w:p w14:paraId="1519BC0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Information/Documents to be Supplied by the Tenderer – The Contracting Authority refers to relevant experience in two different places:</w:t>
            </w:r>
          </w:p>
          <w:p w14:paraId="174E42F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On page 6, it states: “evidence of relevant experience in carrying out works of a similar nature, including the nature and value of the contracts, works in hand and contractually committed (Form 4.6.4). The evidence must include successful experience as the prime contractor in construction of at least 1 (one) project of the same nature and complexity comparable to the works concerned by the tender during the last five years.”, and</w:t>
            </w:r>
          </w:p>
          <w:p w14:paraId="306CA87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On page 7, it states: “it must have completed at least one project of the same nature/complexity as the works concerned by the tender and implemented during the following period: 20/05/2023 – 19/05/2026. The contracting authority ask for copies of certificates of final acceptance signed by the supervisors/contracting authority of the projects concerned.”</w:t>
            </w:r>
          </w:p>
          <w:p w14:paraId="5387E526"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In this regard, we kindly request clarification on whether the required experience should relate to projects completed within the last five years (i.e. 2022–2026), or strictly within the specified period of 20/05/2023 – 19/05/2026.</w:t>
            </w:r>
          </w:p>
        </w:tc>
      </w:tr>
      <w:tr w:rsidR="00A003C5" w:rsidRPr="00A003C5" w14:paraId="746E6666" w14:textId="77777777" w:rsidTr="00135653">
        <w:tc>
          <w:tcPr>
            <w:tcW w:w="588" w:type="dxa"/>
          </w:tcPr>
          <w:p w14:paraId="7921F6C3" w14:textId="27B10EEC"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lastRenderedPageBreak/>
              <w:t>A</w:t>
            </w:r>
            <w:r>
              <w:rPr>
                <w:rFonts w:ascii="Calibri" w:hAnsi="Calibri"/>
              </w:rPr>
              <w:t>3</w:t>
            </w:r>
          </w:p>
        </w:tc>
        <w:tc>
          <w:tcPr>
            <w:tcW w:w="8762" w:type="dxa"/>
          </w:tcPr>
          <w:p w14:paraId="27048BA8"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As stated on page 6 …” The evidence must include successful experience as the prime contractor in construction of at least 1 (one) project of the same nature and complexity comparable to the works concerned by the tender during the last five years”. Info on page 7 will be corrected by Corrigendum. </w:t>
            </w:r>
          </w:p>
        </w:tc>
      </w:tr>
      <w:tr w:rsidR="00A003C5" w:rsidRPr="00A003C5" w14:paraId="568B3B89" w14:textId="77777777" w:rsidTr="00135653">
        <w:tc>
          <w:tcPr>
            <w:tcW w:w="588" w:type="dxa"/>
          </w:tcPr>
          <w:p w14:paraId="4A5B440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Q4</w:t>
            </w:r>
          </w:p>
        </w:tc>
        <w:tc>
          <w:tcPr>
            <w:tcW w:w="8762" w:type="dxa"/>
          </w:tcPr>
          <w:p w14:paraId="2A4C920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Information/Documents to be Supplied by the Tenderer – In terms of relevant experience, kindly clarify what will be considered as “projects of a similar nature and complexity,” in particular which types of works and projects would be deemed acceptable.</w:t>
            </w:r>
          </w:p>
        </w:tc>
      </w:tr>
      <w:tr w:rsidR="00A003C5" w:rsidRPr="00A003C5" w14:paraId="3774B8E4" w14:textId="77777777" w:rsidTr="00135653">
        <w:tc>
          <w:tcPr>
            <w:tcW w:w="588" w:type="dxa"/>
          </w:tcPr>
          <w:p w14:paraId="3677CF8F" w14:textId="4E964CE6"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4</w:t>
            </w:r>
          </w:p>
        </w:tc>
        <w:tc>
          <w:tcPr>
            <w:tcW w:w="8762" w:type="dxa"/>
          </w:tcPr>
          <w:p w14:paraId="2D628428"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Any project related to installation of public lighting or similar</w:t>
            </w:r>
          </w:p>
        </w:tc>
      </w:tr>
      <w:tr w:rsidR="00A003C5" w:rsidRPr="00A003C5" w14:paraId="5C90055D" w14:textId="77777777" w:rsidTr="00135653">
        <w:tc>
          <w:tcPr>
            <w:tcW w:w="588" w:type="dxa"/>
          </w:tcPr>
          <w:p w14:paraId="13E5CBD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Q5</w:t>
            </w:r>
          </w:p>
        </w:tc>
        <w:tc>
          <w:tcPr>
            <w:tcW w:w="8762" w:type="dxa"/>
          </w:tcPr>
          <w:p w14:paraId="71C89AE3"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Section 1: Instructions to Tenderers - Information/Documents to be Supplied by the Tenderer and Section 2: Tender Form - FORM 4.6.1 – As stated in Section 1 regarding the technical and professional capacity, the Contracting Authority requires “at least 2 (two) staff currently employed by the tenderer in fields related to this contract”, as well as that “CVs of staff planned for the defined positions shall be accompanied by copies of their diplomas and references.” However, in Section 2 (Tender Form 4.6.1), under the column “Years of experience (with the company/in construction)”, the fields for both the Contractor’s Representative and the Main Engineer are marked with “/”. In this regard, kindly clarify: </w:t>
            </w:r>
          </w:p>
          <w:p w14:paraId="37EAFCB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Whether any specific experience in construction is required for the proposed key personnel, and consequently whether references should be submitted in accordance with the requirements set out in Section 1; and</w:t>
            </w:r>
          </w:p>
          <w:p w14:paraId="4CEEA551"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How the field “Major works for which responsible (project/value)” should be completed.</w:t>
            </w:r>
          </w:p>
          <w:p w14:paraId="7A48F947"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Additionally, kindly clarify what is meant by “currently employed by the tenderer in fields related to this contract,” particularly the scope of “fields related to the contract.”</w:t>
            </w:r>
          </w:p>
        </w:tc>
      </w:tr>
      <w:tr w:rsidR="00A003C5" w:rsidRPr="00A003C5" w14:paraId="6E173568" w14:textId="77777777" w:rsidTr="00135653">
        <w:tc>
          <w:tcPr>
            <w:tcW w:w="588" w:type="dxa"/>
          </w:tcPr>
          <w:p w14:paraId="1C2AA245" w14:textId="7710F33C"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5</w:t>
            </w:r>
          </w:p>
        </w:tc>
        <w:tc>
          <w:tcPr>
            <w:tcW w:w="8762" w:type="dxa"/>
          </w:tcPr>
          <w:p w14:paraId="2A9FF09B" w14:textId="77777777" w:rsidR="00A003C5" w:rsidRPr="00A003C5" w:rsidRDefault="00A003C5" w:rsidP="00A003C5">
            <w:pPr>
              <w:numPr>
                <w:ilvl w:val="0"/>
                <w:numId w:val="9"/>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references should be submitted in accordance with the requirements set out in Section 1</w:t>
            </w:r>
          </w:p>
          <w:p w14:paraId="54DE4558" w14:textId="77777777" w:rsidR="00A003C5" w:rsidRPr="00A003C5" w:rsidRDefault="00A003C5" w:rsidP="00A003C5">
            <w:pPr>
              <w:numPr>
                <w:ilvl w:val="0"/>
                <w:numId w:val="9"/>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Please describe in which project the person was involved and what role they had.</w:t>
            </w:r>
          </w:p>
        </w:tc>
      </w:tr>
      <w:tr w:rsidR="00A003C5" w:rsidRPr="00A003C5" w14:paraId="6905917E" w14:textId="77777777" w:rsidTr="00135653">
        <w:tc>
          <w:tcPr>
            <w:tcW w:w="588" w:type="dxa"/>
          </w:tcPr>
          <w:p w14:paraId="0B68BAF7"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Q6</w:t>
            </w:r>
          </w:p>
        </w:tc>
        <w:tc>
          <w:tcPr>
            <w:tcW w:w="8762" w:type="dxa"/>
          </w:tcPr>
          <w:p w14:paraId="4BD943A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Content and Presentation of Tender – In the event that the Bidder submits its tender as a single entity (with or without engaging a subcontractor), and the tender is signed by the Bidder’s legal representative, kindly clarify whether a power of attorney is still required to be submitted in accordance with Form 4.3 in Volume 1, Section 4 of the tender dossier. If a power of attorney is required, we kindly request guidance on the proper manner of submission.</w:t>
            </w:r>
          </w:p>
        </w:tc>
      </w:tr>
      <w:tr w:rsidR="00A003C5" w:rsidRPr="00A003C5" w14:paraId="47CF24A9" w14:textId="77777777" w:rsidTr="00135653">
        <w:tc>
          <w:tcPr>
            <w:tcW w:w="588" w:type="dxa"/>
          </w:tcPr>
          <w:p w14:paraId="15AB8C95" w14:textId="60504346"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6</w:t>
            </w:r>
          </w:p>
        </w:tc>
        <w:tc>
          <w:tcPr>
            <w:tcW w:w="8762" w:type="dxa"/>
          </w:tcPr>
          <w:p w14:paraId="713CE2A1"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As stated in the Instructions, ad in Tender form, part 4.3, please attach power of attorney empowering the signatory of the tender and all related documentation in the free format</w:t>
            </w:r>
          </w:p>
        </w:tc>
      </w:tr>
      <w:tr w:rsidR="00A003C5" w:rsidRPr="00A003C5" w14:paraId="7398F755" w14:textId="77777777" w:rsidTr="00135653">
        <w:tc>
          <w:tcPr>
            <w:tcW w:w="588" w:type="dxa"/>
          </w:tcPr>
          <w:p w14:paraId="70BE5011"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Q7</w:t>
            </w:r>
          </w:p>
        </w:tc>
        <w:tc>
          <w:tcPr>
            <w:tcW w:w="8762" w:type="dxa"/>
          </w:tcPr>
          <w:p w14:paraId="501292D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Volume 4.3 - Financial Offer Templates - Bill of Quantities – The Contracting Authority is kindly requested, if possible, to provide the Financial Offer Template (Bill of Quantities) in an editable Excel format, in order to facilitate the preparation of the tender</w:t>
            </w:r>
          </w:p>
        </w:tc>
      </w:tr>
      <w:tr w:rsidR="00A003C5" w:rsidRPr="00A003C5" w14:paraId="074BE8C6" w14:textId="77777777" w:rsidTr="00135653">
        <w:tc>
          <w:tcPr>
            <w:tcW w:w="588" w:type="dxa"/>
          </w:tcPr>
          <w:p w14:paraId="4E5569EB" w14:textId="0231C5A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7</w:t>
            </w:r>
          </w:p>
        </w:tc>
        <w:tc>
          <w:tcPr>
            <w:tcW w:w="8762" w:type="dxa"/>
          </w:tcPr>
          <w:p w14:paraId="3DCD47E5"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Please use provided form V 4_Financial offer-Bill of </w:t>
            </w:r>
            <w:proofErr w:type="spellStart"/>
            <w:r w:rsidRPr="00A003C5">
              <w:rPr>
                <w:rFonts w:ascii="Calibri" w:hAnsi="Calibri"/>
              </w:rPr>
              <w:t>Quantities_tz</w:t>
            </w:r>
            <w:proofErr w:type="spellEnd"/>
          </w:p>
        </w:tc>
      </w:tr>
      <w:tr w:rsidR="00A003C5" w:rsidRPr="00A003C5" w14:paraId="33B3D5DE" w14:textId="77777777" w:rsidTr="00135653">
        <w:tc>
          <w:tcPr>
            <w:tcW w:w="588" w:type="dxa"/>
          </w:tcPr>
          <w:p w14:paraId="062D997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Q8</w:t>
            </w:r>
          </w:p>
        </w:tc>
        <w:tc>
          <w:tcPr>
            <w:tcW w:w="8762" w:type="dxa"/>
          </w:tcPr>
          <w:p w14:paraId="1E656A83"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Corrigendum - Contract Notice – No 1 - 02.04.2026. - Reason for change – The Contracting Authority submitted the following reason for the change: “Modification of original information submitted by the contracting authority (Modification were caused by certain changes in the technical specifications of the works, which also resulted in the extension of the deadline for tender submission)”. Kindly confirm that, notwithstanding the above-mentioned statement, the deadline for receipt of tenders remains 19 May 2026 at 14:00 </w:t>
            </w:r>
            <w:proofErr w:type="spellStart"/>
            <w:r w:rsidRPr="00A003C5">
              <w:rPr>
                <w:rFonts w:ascii="Calibri" w:hAnsi="Calibri"/>
              </w:rPr>
              <w:t>hrs</w:t>
            </w:r>
            <w:proofErr w:type="spellEnd"/>
            <w:r w:rsidRPr="00A003C5">
              <w:rPr>
                <w:rFonts w:ascii="Calibri" w:hAnsi="Calibri"/>
              </w:rPr>
              <w:t xml:space="preserve"> (local time).</w:t>
            </w:r>
          </w:p>
        </w:tc>
      </w:tr>
      <w:tr w:rsidR="00A003C5" w:rsidRPr="00A003C5" w14:paraId="32F3B3B0" w14:textId="77777777" w:rsidTr="00135653">
        <w:tc>
          <w:tcPr>
            <w:tcW w:w="588" w:type="dxa"/>
          </w:tcPr>
          <w:p w14:paraId="15207AEB" w14:textId="4A783663"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8</w:t>
            </w:r>
          </w:p>
        </w:tc>
        <w:tc>
          <w:tcPr>
            <w:tcW w:w="8762" w:type="dxa"/>
          </w:tcPr>
          <w:p w14:paraId="1A1857F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Yes, deadline for receipt of tenders remains 19 May 2026 at 14:00 </w:t>
            </w:r>
            <w:proofErr w:type="spellStart"/>
            <w:r w:rsidRPr="00A003C5">
              <w:rPr>
                <w:rFonts w:ascii="Calibri" w:hAnsi="Calibri"/>
              </w:rPr>
              <w:t>hrs</w:t>
            </w:r>
            <w:proofErr w:type="spellEnd"/>
            <w:r w:rsidRPr="00A003C5">
              <w:rPr>
                <w:rFonts w:ascii="Calibri" w:hAnsi="Calibri"/>
              </w:rPr>
              <w:t xml:space="preserve"> (local time)</w:t>
            </w:r>
          </w:p>
        </w:tc>
      </w:tr>
      <w:tr w:rsidR="00A003C5" w:rsidRPr="00A003C5" w14:paraId="6DA9D66F" w14:textId="77777777" w:rsidTr="00135653">
        <w:tc>
          <w:tcPr>
            <w:tcW w:w="588" w:type="dxa"/>
          </w:tcPr>
          <w:p w14:paraId="4A4144AC"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Q9</w:t>
            </w:r>
          </w:p>
        </w:tc>
        <w:tc>
          <w:tcPr>
            <w:tcW w:w="8762" w:type="dxa"/>
          </w:tcPr>
          <w:p w14:paraId="44F45D3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1: Instructions to Tenderers - Information/Documents to be Supplied by the Tenderer – For the purpose of demonstrating the professional capacity of the bidder and for the further evaluation of the tender, kindly confirm that it is not required to submit the professional license for the execution of construction works, in accordance with the relevant legislation of Montenegro.</w:t>
            </w:r>
          </w:p>
        </w:tc>
      </w:tr>
      <w:tr w:rsidR="00A003C5" w:rsidRPr="00A003C5" w14:paraId="4A5EA85F" w14:textId="77777777" w:rsidTr="00135653">
        <w:tc>
          <w:tcPr>
            <w:tcW w:w="588" w:type="dxa"/>
          </w:tcPr>
          <w:p w14:paraId="27944208" w14:textId="00CB5FF1"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lastRenderedPageBreak/>
              <w:t>A</w:t>
            </w:r>
            <w:r>
              <w:rPr>
                <w:rFonts w:ascii="Calibri" w:hAnsi="Calibri"/>
              </w:rPr>
              <w:t>9</w:t>
            </w:r>
          </w:p>
        </w:tc>
        <w:tc>
          <w:tcPr>
            <w:tcW w:w="8762" w:type="dxa"/>
          </w:tcPr>
          <w:p w14:paraId="7DB6015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Yes, we confirm that confirm that it is not required to submit the professional license for the execution of construction works</w:t>
            </w:r>
          </w:p>
        </w:tc>
      </w:tr>
      <w:tr w:rsidR="00A003C5" w:rsidRPr="00A003C5" w14:paraId="45F0F31C" w14:textId="77777777" w:rsidTr="00135653">
        <w:tc>
          <w:tcPr>
            <w:tcW w:w="588" w:type="dxa"/>
          </w:tcPr>
          <w:p w14:paraId="2C6E13D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Q10</w:t>
            </w:r>
          </w:p>
        </w:tc>
        <w:tc>
          <w:tcPr>
            <w:tcW w:w="8762" w:type="dxa"/>
          </w:tcPr>
          <w:p w14:paraId="15FCC67A"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In Section 1: Instructions to Tenderers - Information/Documents to be Supplied by the Tenderer - Economic and financial capacity of candidate – The Contracting Authority has stated the following: “the average annual turnover of the tenderer in the past 3 years must be at half of the value of the contract.”  At the same time in Section 2: Tender Form - Form 4.4 Financial Statement, bidders are required to provide the information for the following years: </w:t>
            </w:r>
          </w:p>
          <w:p w14:paraId="1D56EAD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 xml:space="preserve">Year-3 - 2023         </w:t>
            </w:r>
          </w:p>
          <w:p w14:paraId="2A7C46F9"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 xml:space="preserve">Year-2 - 2024         </w:t>
            </w:r>
          </w:p>
          <w:p w14:paraId="7CBB8483"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Last year – 2025</w:t>
            </w:r>
          </w:p>
          <w:p w14:paraId="40D78F6C"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Considering the statutory obligation for legal entities subject to audit under Montenegrin legislation to audit and adopt financial statements for 2025, we kindly request clarification on the following points:</w:t>
            </w:r>
          </w:p>
          <w:p w14:paraId="28A6099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Audit of 2025 Financial Statements: If the bidder is subject to statutory audit under Montenegrin law, will the Contracting Authority accept preliminary financial statements for 2025 if the audited and adopted financial statements for 2025 are not available at the time of bid submission?</w:t>
            </w:r>
          </w:p>
          <w:p w14:paraId="04C99F4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Acceptance of Audited Financial Statements for Previous Years: In the event that preliminary financial statements for 2025 are not acceptable, kindly confirm that the audited financial statements for the years 2022, 2023, and 2024 will be accepted and evaluated as responsive according to the evaluation criteria.</w:t>
            </w:r>
          </w:p>
        </w:tc>
      </w:tr>
      <w:tr w:rsidR="00A003C5" w:rsidRPr="00A003C5" w14:paraId="57B8E16B" w14:textId="77777777" w:rsidTr="00135653">
        <w:tc>
          <w:tcPr>
            <w:tcW w:w="588" w:type="dxa"/>
          </w:tcPr>
          <w:p w14:paraId="47AB6478" w14:textId="629A4B74"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10</w:t>
            </w:r>
          </w:p>
        </w:tc>
        <w:tc>
          <w:tcPr>
            <w:tcW w:w="8762" w:type="dxa"/>
          </w:tcPr>
          <w:p w14:paraId="153A2DA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 By Montenegrin legislation submission of annual financial statements for 2025 was obligatory till 31.03.2026, what was further extended by the Tax authority till 24.4.2026. </w:t>
            </w:r>
          </w:p>
          <w:p w14:paraId="73F551C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As stated in Section 2: Tender Form - Form 4.4 Financial Statement, bidders are required to provide the information for the following years: </w:t>
            </w:r>
          </w:p>
          <w:p w14:paraId="254E31E8"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 xml:space="preserve">Year-3 - 2023         </w:t>
            </w:r>
          </w:p>
          <w:p w14:paraId="43DD4E33"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 xml:space="preserve">Year-2 - 2024         </w:t>
            </w:r>
          </w:p>
          <w:p w14:paraId="1C0DC7DB"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t>
            </w:r>
            <w:r w:rsidRPr="00A003C5">
              <w:rPr>
                <w:rFonts w:ascii="Calibri" w:hAnsi="Calibri"/>
              </w:rPr>
              <w:tab/>
              <w:t>Last year – 2025</w:t>
            </w:r>
          </w:p>
        </w:tc>
      </w:tr>
      <w:tr w:rsidR="00A003C5" w:rsidRPr="00A003C5" w14:paraId="4FE402D1" w14:textId="77777777" w:rsidTr="00135653">
        <w:tc>
          <w:tcPr>
            <w:tcW w:w="588" w:type="dxa"/>
          </w:tcPr>
          <w:p w14:paraId="6AAC9CEF"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Q11</w:t>
            </w:r>
          </w:p>
        </w:tc>
        <w:tc>
          <w:tcPr>
            <w:tcW w:w="8762" w:type="dxa"/>
          </w:tcPr>
          <w:p w14:paraId="7B0D7F9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In Section 1: Instructions to Tenderers - Information/Documents to be Supplied by the Tenderer - Economic and financial capacity of candidate – The Contracting Authority has stated the following: “the average annual turnover of the tenderer in the past 3 years must be at half of the value of the contract.”  Kindly clarify the term of “at half of the value of the contract”. Kindly confirm whether in this case value refers to the price of Bidder’s tender</w:t>
            </w:r>
          </w:p>
        </w:tc>
      </w:tr>
      <w:tr w:rsidR="00A003C5" w:rsidRPr="00A003C5" w14:paraId="3161CD1C" w14:textId="77777777" w:rsidTr="00135653">
        <w:tc>
          <w:tcPr>
            <w:tcW w:w="588" w:type="dxa"/>
          </w:tcPr>
          <w:p w14:paraId="794CF2A6" w14:textId="3DA5B79C"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11</w:t>
            </w:r>
          </w:p>
        </w:tc>
        <w:tc>
          <w:tcPr>
            <w:tcW w:w="8762" w:type="dxa"/>
          </w:tcPr>
          <w:p w14:paraId="1805CBA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Yes, this case value refers to the price of Bidder’s tender</w:t>
            </w:r>
          </w:p>
        </w:tc>
      </w:tr>
      <w:tr w:rsidR="00A003C5" w:rsidRPr="00A003C5" w14:paraId="3CCE2FC6" w14:textId="77777777" w:rsidTr="00135653">
        <w:tc>
          <w:tcPr>
            <w:tcW w:w="588" w:type="dxa"/>
          </w:tcPr>
          <w:p w14:paraId="10067B0C"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Q12</w:t>
            </w:r>
          </w:p>
        </w:tc>
        <w:tc>
          <w:tcPr>
            <w:tcW w:w="8762" w:type="dxa"/>
          </w:tcPr>
          <w:p w14:paraId="63AB46F6"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In Section 2: Tender Form - FORM 4.1 General Information about the Tenderer – Kindly confirm whether it is sufficient to enlist the legal representatives of the entity under the “Names and nationalities of principals/directors and associates”, and, in case the contracting authority requires additional information regarding the board of directors, ownership structure, or management, please advise accordingly</w:t>
            </w:r>
          </w:p>
        </w:tc>
      </w:tr>
      <w:tr w:rsidR="00A003C5" w:rsidRPr="00A003C5" w14:paraId="0AFC8A3B" w14:textId="77777777" w:rsidTr="00135653">
        <w:tc>
          <w:tcPr>
            <w:tcW w:w="588" w:type="dxa"/>
          </w:tcPr>
          <w:p w14:paraId="4D0B81B1" w14:textId="20902F1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12</w:t>
            </w:r>
          </w:p>
        </w:tc>
        <w:tc>
          <w:tcPr>
            <w:tcW w:w="8762" w:type="dxa"/>
          </w:tcPr>
          <w:p w14:paraId="4D7B371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Please answer all question of the Tender Form - FORM 4.1 General Information about the Tenderer</w:t>
            </w:r>
          </w:p>
        </w:tc>
      </w:tr>
      <w:tr w:rsidR="00A003C5" w:rsidRPr="00A003C5" w14:paraId="75269032" w14:textId="77777777" w:rsidTr="00135653">
        <w:tc>
          <w:tcPr>
            <w:tcW w:w="588" w:type="dxa"/>
          </w:tcPr>
          <w:p w14:paraId="154FA10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Q13</w:t>
            </w:r>
          </w:p>
        </w:tc>
        <w:tc>
          <w:tcPr>
            <w:tcW w:w="8762" w:type="dxa"/>
          </w:tcPr>
          <w:p w14:paraId="2AE02CE1"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In Section 1: Instructions to Tenderers - Information/Documents to be Supplied by the Tenderer - Technical and professional capacity of candidate – The Contracting Authority has stated the following: “it must have completed at least one project of the same nature/complexity as the works concerned by the tender and implemented during the following period: 20/05/2023 – 19/05/2026. The contracting authority ask for copies of certificates of final acceptance signed by the supervisors/contracting authority of the projects concerned.” For proving the respective criterion, kindly confirm whether it is acceptable to deliver a copy of reference letter duly signed by the End-user’s authorized representative, in a free form.</w:t>
            </w:r>
          </w:p>
        </w:tc>
      </w:tr>
      <w:tr w:rsidR="00A003C5" w:rsidRPr="00A003C5" w14:paraId="52F77675" w14:textId="77777777" w:rsidTr="00135653">
        <w:tc>
          <w:tcPr>
            <w:tcW w:w="588" w:type="dxa"/>
          </w:tcPr>
          <w:p w14:paraId="6376D3E9" w14:textId="6E69A744"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13</w:t>
            </w:r>
          </w:p>
        </w:tc>
        <w:tc>
          <w:tcPr>
            <w:tcW w:w="8762" w:type="dxa"/>
          </w:tcPr>
          <w:p w14:paraId="60AC7453"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Yes, it is acceptable to deliver a copy of reference letter duly signed by the End-user’s authorized representative, in a free form if it is stated that the contractor has </w:t>
            </w:r>
            <w:proofErr w:type="spellStart"/>
            <w:r w:rsidRPr="00A003C5">
              <w:rPr>
                <w:rFonts w:ascii="Calibri" w:hAnsi="Calibri"/>
              </w:rPr>
              <w:t>fulfiled</w:t>
            </w:r>
            <w:proofErr w:type="spellEnd"/>
            <w:r w:rsidRPr="00A003C5">
              <w:rPr>
                <w:rFonts w:ascii="Calibri" w:hAnsi="Calibri"/>
              </w:rPr>
              <w:t xml:space="preserve"> all contractual obligations.</w:t>
            </w:r>
          </w:p>
        </w:tc>
      </w:tr>
      <w:tr w:rsidR="00A003C5" w:rsidRPr="00A003C5" w14:paraId="5F5A984A" w14:textId="77777777" w:rsidTr="00135653">
        <w:tc>
          <w:tcPr>
            <w:tcW w:w="588" w:type="dxa"/>
          </w:tcPr>
          <w:p w14:paraId="7A884C54"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lastRenderedPageBreak/>
              <w:t>Q14</w:t>
            </w:r>
          </w:p>
        </w:tc>
        <w:tc>
          <w:tcPr>
            <w:tcW w:w="8762" w:type="dxa"/>
          </w:tcPr>
          <w:p w14:paraId="59E52CF2"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Section 1: Instructions to Tenderers - Information/Documents to be Supplied by the Tenderer and Section 2: Tender Form - Form 4.6.3 Work Plan and </w:t>
            </w:r>
            <w:proofErr w:type="spellStart"/>
            <w:r w:rsidRPr="00A003C5">
              <w:rPr>
                <w:rFonts w:ascii="Calibri" w:hAnsi="Calibri"/>
              </w:rPr>
              <w:t>Programme</w:t>
            </w:r>
            <w:proofErr w:type="spellEnd"/>
            <w:r w:rsidRPr="00A003C5">
              <w:rPr>
                <w:rFonts w:ascii="Calibri" w:hAnsi="Calibri"/>
              </w:rPr>
              <w:t xml:space="preserve"> – Under the 4.6.3., the Contracting Authority has enlisted that the Work Plan and </w:t>
            </w:r>
            <w:proofErr w:type="spellStart"/>
            <w:r w:rsidRPr="00A003C5">
              <w:rPr>
                <w:rFonts w:ascii="Calibri" w:hAnsi="Calibri"/>
              </w:rPr>
              <w:t>Programme</w:t>
            </w:r>
            <w:proofErr w:type="spellEnd"/>
            <w:r w:rsidRPr="00A003C5">
              <w:rPr>
                <w:rFonts w:ascii="Calibri" w:hAnsi="Calibri"/>
              </w:rPr>
              <w:t xml:space="preserve"> needs. </w:t>
            </w:r>
          </w:p>
          <w:p w14:paraId="47FA38A0"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We would also kindly request clarification regarding logistics and handling of materials during contract execution, namely:</w:t>
            </w:r>
          </w:p>
          <w:p w14:paraId="655B1D80" w14:textId="77777777" w:rsidR="00A003C5" w:rsidRPr="00A003C5" w:rsidRDefault="00A003C5" w:rsidP="00A003C5">
            <w:pPr>
              <w:numPr>
                <w:ilvl w:val="0"/>
                <w:numId w:val="10"/>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Can the tenderer/contractor propose and use the warehouse of the Public Utility Company Tuzi for storing new and dismantled equipment during the execution of the works?</w:t>
            </w:r>
          </w:p>
          <w:p w14:paraId="7387AD5C"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p>
          <w:p w14:paraId="371297E9" w14:textId="77777777" w:rsidR="00A003C5" w:rsidRPr="00A003C5" w:rsidRDefault="00A003C5" w:rsidP="00A003C5">
            <w:pPr>
              <w:numPr>
                <w:ilvl w:val="0"/>
                <w:numId w:val="10"/>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 xml:space="preserve">Requirements under 4.6.3.2 and 4.6.3.3, please clarify the expected content of the work </w:t>
            </w:r>
            <w:proofErr w:type="spellStart"/>
            <w:r w:rsidRPr="00A003C5">
              <w:rPr>
                <w:rFonts w:ascii="Calibri" w:hAnsi="Calibri"/>
              </w:rPr>
              <w:t>programme</w:t>
            </w:r>
            <w:proofErr w:type="spellEnd"/>
            <w:r w:rsidRPr="00A003C5">
              <w:rPr>
                <w:rFonts w:ascii="Calibri" w:hAnsi="Calibri"/>
              </w:rPr>
              <w:t xml:space="preserve"> and critical milestone bar chart, and confirm whether documentation focused on procurement deadlines, planned delivery schedule, and installation of luminaires — based on the street layout to be provided by the Contracting Authority, as stated during the Site Visit held on 14 April 2026 — would be considered compliant with the criteria defined in the Tender Document.</w:t>
            </w:r>
          </w:p>
        </w:tc>
      </w:tr>
      <w:tr w:rsidR="00A003C5" w:rsidRPr="00A003C5" w14:paraId="40AAA382" w14:textId="77777777" w:rsidTr="00135653">
        <w:tc>
          <w:tcPr>
            <w:tcW w:w="588" w:type="dxa"/>
          </w:tcPr>
          <w:p w14:paraId="31913623" w14:textId="2DC1A79E"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14</w:t>
            </w:r>
          </w:p>
        </w:tc>
        <w:tc>
          <w:tcPr>
            <w:tcW w:w="8762" w:type="dxa"/>
          </w:tcPr>
          <w:p w14:paraId="2AD69BBB" w14:textId="77777777" w:rsidR="00A003C5" w:rsidRPr="00A003C5" w:rsidRDefault="00A003C5" w:rsidP="00A003C5">
            <w:pPr>
              <w:numPr>
                <w:ilvl w:val="0"/>
                <w:numId w:val="10"/>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Yes, the tenderer/contractor can propose and use the warehouse of the Public Utility Company Tuzi for storing new and dismantled equipment during the execution of the works.</w:t>
            </w:r>
          </w:p>
          <w:p w14:paraId="0621258F" w14:textId="77777777" w:rsidR="00A003C5" w:rsidRPr="00A003C5" w:rsidRDefault="00A003C5" w:rsidP="00A003C5">
            <w:pPr>
              <w:numPr>
                <w:ilvl w:val="0"/>
                <w:numId w:val="10"/>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contextualSpacing/>
              <w:jc w:val="left"/>
              <w:rPr>
                <w:rFonts w:ascii="Calibri" w:hAnsi="Calibri"/>
              </w:rPr>
            </w:pPr>
            <w:r w:rsidRPr="00A003C5">
              <w:rPr>
                <w:rFonts w:ascii="Calibri" w:hAnsi="Calibri"/>
              </w:rPr>
              <w:t>Please provide answers as requested in the Tender for, sections 4.6.3.2 and 4.6.3.3</w:t>
            </w:r>
          </w:p>
        </w:tc>
      </w:tr>
      <w:tr w:rsidR="00A003C5" w:rsidRPr="00A003C5" w14:paraId="17B5AE0A" w14:textId="77777777" w:rsidTr="00135653">
        <w:tc>
          <w:tcPr>
            <w:tcW w:w="588" w:type="dxa"/>
          </w:tcPr>
          <w:p w14:paraId="6D4F93C8"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Q15</w:t>
            </w:r>
          </w:p>
        </w:tc>
        <w:tc>
          <w:tcPr>
            <w:tcW w:w="8762" w:type="dxa"/>
          </w:tcPr>
          <w:p w14:paraId="20E54C87"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Section 3: Special conditions - Article 46 Pre-financing: As stated under Article 46.1, pre-financing is possible. Kindly clarify whether bidders are required to indicate, at the tender stage, their intention to request and use pre-financing in accordance with Article 46, or if such request can be submitted only after contract signature. In case the indication of pre-financing usage is required at the tender stage, please further clarify whether it is sufficient to reflect the envisaged use of pre-financing in Form 4.6.3 – Work Plan and </w:t>
            </w:r>
            <w:proofErr w:type="spellStart"/>
            <w:r w:rsidRPr="00A003C5">
              <w:rPr>
                <w:rFonts w:ascii="Calibri" w:hAnsi="Calibri"/>
              </w:rPr>
              <w:t>Programme</w:t>
            </w:r>
            <w:proofErr w:type="spellEnd"/>
            <w:r w:rsidRPr="00A003C5">
              <w:rPr>
                <w:rFonts w:ascii="Calibri" w:hAnsi="Calibri"/>
              </w:rPr>
              <w:t>.</w:t>
            </w:r>
          </w:p>
        </w:tc>
      </w:tr>
      <w:tr w:rsidR="00A003C5" w:rsidRPr="00A003C5" w14:paraId="23DC5850" w14:textId="77777777" w:rsidTr="00135653">
        <w:tc>
          <w:tcPr>
            <w:tcW w:w="588" w:type="dxa"/>
          </w:tcPr>
          <w:p w14:paraId="2FE264B0" w14:textId="5DD0ECF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14</w:t>
            </w:r>
          </w:p>
        </w:tc>
        <w:tc>
          <w:tcPr>
            <w:tcW w:w="8762" w:type="dxa"/>
          </w:tcPr>
          <w:p w14:paraId="1B3D907A"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The pre-financing will be defined during contracting phase</w:t>
            </w:r>
          </w:p>
        </w:tc>
      </w:tr>
      <w:tr w:rsidR="00A003C5" w:rsidRPr="00A003C5" w14:paraId="549E6872" w14:textId="77777777" w:rsidTr="00135653">
        <w:tc>
          <w:tcPr>
            <w:tcW w:w="588" w:type="dxa"/>
          </w:tcPr>
          <w:p w14:paraId="5734AD2F"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Q16</w:t>
            </w:r>
          </w:p>
        </w:tc>
        <w:tc>
          <w:tcPr>
            <w:tcW w:w="8762" w:type="dxa"/>
          </w:tcPr>
          <w:p w14:paraId="1AE4BFCA"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Section 3: Special conditions - Article 47 Retention monies/Section 2: General conditions – Article 47 - Retention monies: Kindly clarify whether a retention guarantee would be acceptable as a substitute for retention monies deducted from interim payments.</w:t>
            </w:r>
          </w:p>
        </w:tc>
      </w:tr>
      <w:tr w:rsidR="00A003C5" w:rsidRPr="00A003C5" w14:paraId="657188F6" w14:textId="77777777" w:rsidTr="00135653">
        <w:tc>
          <w:tcPr>
            <w:tcW w:w="588" w:type="dxa"/>
          </w:tcPr>
          <w:p w14:paraId="5C19C2DE" w14:textId="611667E5"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16</w:t>
            </w:r>
          </w:p>
        </w:tc>
        <w:tc>
          <w:tcPr>
            <w:tcW w:w="8762" w:type="dxa"/>
          </w:tcPr>
          <w:p w14:paraId="6355963D"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Yes, the retention guarantee will be requested as a substitute for retention monies deducted from interim payments.</w:t>
            </w:r>
          </w:p>
        </w:tc>
      </w:tr>
      <w:tr w:rsidR="00A003C5" w:rsidRPr="00A003C5" w14:paraId="68D6DAAD" w14:textId="77777777" w:rsidTr="00135653">
        <w:tc>
          <w:tcPr>
            <w:tcW w:w="588" w:type="dxa"/>
          </w:tcPr>
          <w:p w14:paraId="4FA0274C"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Q17</w:t>
            </w:r>
          </w:p>
        </w:tc>
        <w:tc>
          <w:tcPr>
            <w:tcW w:w="8762" w:type="dxa"/>
          </w:tcPr>
          <w:p w14:paraId="4E1077F5"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 xml:space="preserve">Section 2: General conditions - Article 61 - Defects liability/Article 47 - Retention monies: Kindly clarify the duration of the </w:t>
            </w:r>
            <w:proofErr w:type="gramStart"/>
            <w:r w:rsidRPr="00A003C5">
              <w:rPr>
                <w:rFonts w:ascii="Calibri" w:hAnsi="Calibri"/>
              </w:rPr>
              <w:t>defects</w:t>
            </w:r>
            <w:proofErr w:type="gramEnd"/>
            <w:r w:rsidRPr="00A003C5">
              <w:rPr>
                <w:rFonts w:ascii="Calibri" w:hAnsi="Calibri"/>
              </w:rPr>
              <w:t xml:space="preserve"> liability period for the Works, as it is not specified in the Special Conditions. In this regard, please also provide information on the duration of retention period, particularly the period for which the retention guarantee, if acceptable to the Contracting Authority, should be issued</w:t>
            </w:r>
          </w:p>
        </w:tc>
      </w:tr>
      <w:tr w:rsidR="00A003C5" w:rsidRPr="00A003C5" w14:paraId="61ADFEF7" w14:textId="77777777" w:rsidTr="00135653">
        <w:tc>
          <w:tcPr>
            <w:tcW w:w="588" w:type="dxa"/>
          </w:tcPr>
          <w:p w14:paraId="15901589" w14:textId="1C705D56"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A</w:t>
            </w:r>
            <w:r>
              <w:rPr>
                <w:rFonts w:ascii="Calibri" w:hAnsi="Calibri"/>
              </w:rPr>
              <w:t>17</w:t>
            </w:r>
          </w:p>
        </w:tc>
        <w:tc>
          <w:tcPr>
            <w:tcW w:w="8762" w:type="dxa"/>
          </w:tcPr>
          <w:p w14:paraId="5396F7D1" w14:textId="77777777" w:rsidR="00A003C5" w:rsidRPr="00A003C5" w:rsidRDefault="00A003C5" w:rsidP="00A003C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Calibri" w:hAnsi="Calibri"/>
              </w:rPr>
            </w:pPr>
            <w:r w:rsidRPr="00A003C5">
              <w:rPr>
                <w:rFonts w:ascii="Calibri" w:hAnsi="Calibri"/>
              </w:rPr>
              <w:t>Please consult General Conditions, articles 47.2, 47.3, 15.6, 61, 62</w:t>
            </w:r>
          </w:p>
        </w:tc>
      </w:tr>
    </w:tbl>
    <w:p w14:paraId="4A886871" w14:textId="6E1B87BF" w:rsidR="00A003C5" w:rsidRDefault="00A003C5"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 w:val="24"/>
          <w:szCs w:val="24"/>
        </w:rPr>
      </w:pPr>
    </w:p>
    <w:p w14:paraId="31339C47" w14:textId="77777777" w:rsidR="00A003C5" w:rsidRDefault="00A003C5"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 w:val="24"/>
          <w:szCs w:val="24"/>
        </w:rPr>
      </w:pPr>
    </w:p>
    <w:p w14:paraId="600E006A" w14:textId="77777777" w:rsidR="00871E1F" w:rsidRDefault="00871E1F"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p>
    <w:p w14:paraId="1432CF3B" w14:textId="77777777" w:rsidR="00871E1F" w:rsidRDefault="00871E1F"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p>
    <w:sectPr w:rsidR="00871E1F" w:rsidSect="00920C37">
      <w:footerReference w:type="default" r:id="rId11"/>
      <w:headerReference w:type="first" r:id="rId12"/>
      <w:footerReference w:type="first" r:id="rId13"/>
      <w:type w:val="continuous"/>
      <w:pgSz w:w="11913" w:h="16834" w:code="9"/>
      <w:pgMar w:top="993" w:right="1418" w:bottom="709" w:left="1134" w:header="0" w:footer="720"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750A" w14:textId="77777777" w:rsidR="00B824BE" w:rsidRDefault="00B824BE">
      <w:r>
        <w:separator/>
      </w:r>
    </w:p>
  </w:endnote>
  <w:endnote w:type="continuationSeparator" w:id="0">
    <w:p w14:paraId="56114D0E" w14:textId="77777777" w:rsidR="00B824BE" w:rsidRDefault="00B8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310F8" w14:textId="77777777" w:rsidR="005D5B47" w:rsidRPr="00013BD1" w:rsidRDefault="00E75802"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Pr>
        <w:rFonts w:ascii="Times New Roman" w:hAnsi="Times New Roman"/>
        <w:b w:val="0"/>
        <w:bCs/>
      </w:rPr>
      <w:tab/>
    </w:r>
    <w:r w:rsidRPr="00D7143F">
      <w:rPr>
        <w:rFonts w:ascii="Times New Roman" w:hAnsi="Times New Roman"/>
        <w:b w:val="0"/>
      </w:rPr>
      <w:t xml:space="preserve">Page </w:t>
    </w:r>
    <w:r w:rsidRPr="00D7143F">
      <w:rPr>
        <w:rStyle w:val="PageNumber"/>
        <w:rFonts w:ascii="Times New Roman" w:hAnsi="Times New Roman"/>
        <w:b w:val="0"/>
      </w:rPr>
      <w:fldChar w:fldCharType="begin"/>
    </w:r>
    <w:r w:rsidRPr="00D7143F">
      <w:rPr>
        <w:rStyle w:val="PageNumber"/>
        <w:rFonts w:ascii="Times New Roman" w:hAnsi="Times New Roman"/>
        <w:b w:val="0"/>
      </w:rPr>
      <w:instrText xml:space="preserve"> PAGE </w:instrText>
    </w:r>
    <w:r w:rsidRPr="00D7143F">
      <w:rPr>
        <w:rStyle w:val="PageNumber"/>
        <w:rFonts w:ascii="Times New Roman" w:hAnsi="Times New Roman"/>
        <w:b w:val="0"/>
      </w:rPr>
      <w:fldChar w:fldCharType="separate"/>
    </w:r>
    <w:r w:rsidR="005C6620">
      <w:rPr>
        <w:rStyle w:val="PageNumber"/>
        <w:rFonts w:ascii="Times New Roman" w:hAnsi="Times New Roman"/>
        <w:b w:val="0"/>
        <w:noProof/>
      </w:rPr>
      <w:t>2</w:t>
    </w:r>
    <w:r w:rsidRPr="00D7143F">
      <w:rPr>
        <w:rStyle w:val="PageNumber"/>
        <w:rFonts w:ascii="Times New Roman" w:hAnsi="Times New Roman"/>
        <w:b w:val="0"/>
      </w:rPr>
      <w:fldChar w:fldCharType="end"/>
    </w:r>
    <w:r w:rsidRPr="00D7143F">
      <w:rPr>
        <w:rStyle w:val="PageNumber"/>
        <w:rFonts w:ascii="Times New Roman" w:hAnsi="Times New Roman"/>
        <w:b w:val="0"/>
      </w:rPr>
      <w:t xml:space="preserve"> of </w:t>
    </w:r>
    <w:r w:rsidRPr="00D7143F">
      <w:rPr>
        <w:rStyle w:val="PageNumber"/>
        <w:rFonts w:ascii="Times New Roman" w:hAnsi="Times New Roman"/>
        <w:b w:val="0"/>
      </w:rPr>
      <w:fldChar w:fldCharType="begin"/>
    </w:r>
    <w:r w:rsidRPr="00D7143F">
      <w:rPr>
        <w:rStyle w:val="PageNumber"/>
        <w:rFonts w:ascii="Times New Roman" w:hAnsi="Times New Roman"/>
        <w:b w:val="0"/>
      </w:rPr>
      <w:instrText xml:space="preserve"> NUMPAGES </w:instrText>
    </w:r>
    <w:r w:rsidRPr="00D7143F">
      <w:rPr>
        <w:rStyle w:val="PageNumber"/>
        <w:rFonts w:ascii="Times New Roman" w:hAnsi="Times New Roman"/>
        <w:b w:val="0"/>
      </w:rPr>
      <w:fldChar w:fldCharType="separate"/>
    </w:r>
    <w:r w:rsidR="005C6620">
      <w:rPr>
        <w:rStyle w:val="PageNumber"/>
        <w:rFonts w:ascii="Times New Roman" w:hAnsi="Times New Roman"/>
        <w:b w:val="0"/>
        <w:noProof/>
      </w:rPr>
      <w:t>2</w:t>
    </w:r>
    <w:r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DFCA" w14:textId="77777777" w:rsidR="008A4AB3" w:rsidRPr="00625ED4" w:rsidRDefault="00E75802"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Pr>
        <w:rFonts w:ascii="Times New Roman" w:hAnsi="Times New Roman"/>
        <w:b w:val="0"/>
        <w:bCs/>
      </w:rPr>
      <w:tab/>
    </w:r>
    <w:r w:rsidRPr="00D7143F">
      <w:rPr>
        <w:rFonts w:ascii="Times New Roman" w:hAnsi="Times New Roman"/>
        <w:b w:val="0"/>
      </w:rPr>
      <w:t xml:space="preserve">Page </w:t>
    </w:r>
    <w:r w:rsidRPr="00D7143F">
      <w:rPr>
        <w:rStyle w:val="PageNumber"/>
        <w:rFonts w:ascii="Times New Roman" w:hAnsi="Times New Roman"/>
        <w:b w:val="0"/>
      </w:rPr>
      <w:fldChar w:fldCharType="begin"/>
    </w:r>
    <w:r w:rsidRPr="00D7143F">
      <w:rPr>
        <w:rStyle w:val="PageNumber"/>
        <w:rFonts w:ascii="Times New Roman" w:hAnsi="Times New Roman"/>
        <w:b w:val="0"/>
      </w:rPr>
      <w:instrText xml:space="preserve"> PAGE </w:instrText>
    </w:r>
    <w:r w:rsidRPr="00D7143F">
      <w:rPr>
        <w:rStyle w:val="PageNumber"/>
        <w:rFonts w:ascii="Times New Roman" w:hAnsi="Times New Roman"/>
        <w:b w:val="0"/>
      </w:rPr>
      <w:fldChar w:fldCharType="separate"/>
    </w:r>
    <w:r w:rsidR="008857F5">
      <w:rPr>
        <w:rStyle w:val="PageNumber"/>
        <w:rFonts w:ascii="Times New Roman" w:hAnsi="Times New Roman"/>
        <w:b w:val="0"/>
        <w:noProof/>
      </w:rPr>
      <w:t>1</w:t>
    </w:r>
    <w:r w:rsidRPr="00D7143F">
      <w:rPr>
        <w:rStyle w:val="PageNumber"/>
        <w:rFonts w:ascii="Times New Roman" w:hAnsi="Times New Roman"/>
        <w:b w:val="0"/>
      </w:rPr>
      <w:fldChar w:fldCharType="end"/>
    </w:r>
    <w:r w:rsidRPr="00D7143F">
      <w:rPr>
        <w:rStyle w:val="PageNumber"/>
        <w:rFonts w:ascii="Times New Roman" w:hAnsi="Times New Roman"/>
        <w:b w:val="0"/>
      </w:rPr>
      <w:t xml:space="preserve"> of </w:t>
    </w:r>
    <w:r w:rsidRPr="00D7143F">
      <w:rPr>
        <w:rStyle w:val="PageNumber"/>
        <w:rFonts w:ascii="Times New Roman" w:hAnsi="Times New Roman"/>
        <w:b w:val="0"/>
      </w:rPr>
      <w:fldChar w:fldCharType="begin"/>
    </w:r>
    <w:r w:rsidRPr="00D7143F">
      <w:rPr>
        <w:rStyle w:val="PageNumber"/>
        <w:rFonts w:ascii="Times New Roman" w:hAnsi="Times New Roman"/>
        <w:b w:val="0"/>
      </w:rPr>
      <w:instrText xml:space="preserve"> NUMPAGES </w:instrText>
    </w:r>
    <w:r w:rsidRPr="00D7143F">
      <w:rPr>
        <w:rStyle w:val="PageNumber"/>
        <w:rFonts w:ascii="Times New Roman" w:hAnsi="Times New Roman"/>
        <w:b w:val="0"/>
      </w:rPr>
      <w:fldChar w:fldCharType="separate"/>
    </w:r>
    <w:r w:rsidR="008857F5">
      <w:rPr>
        <w:rStyle w:val="PageNumber"/>
        <w:rFonts w:ascii="Times New Roman" w:hAnsi="Times New Roman"/>
        <w:b w:val="0"/>
        <w:noProof/>
      </w:rPr>
      <w:t>1</w:t>
    </w:r>
    <w:r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6CB9E" w14:textId="77777777" w:rsidR="00B824BE" w:rsidRDefault="00B824BE">
      <w:r>
        <w:separator/>
      </w:r>
    </w:p>
  </w:footnote>
  <w:footnote w:type="continuationSeparator" w:id="0">
    <w:p w14:paraId="492C1831" w14:textId="77777777" w:rsidR="00B824BE" w:rsidRDefault="00B8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49D5A" w14:textId="77777777" w:rsidR="0023089E" w:rsidRDefault="0023089E" w:rsidP="00372CE2">
    <w:pPr>
      <w:pStyle w:val="Header"/>
      <w:rPr>
        <w:lang w:val="en-US"/>
      </w:rPr>
    </w:pPr>
  </w:p>
  <w:p w14:paraId="2955885F" w14:textId="254ACA5E" w:rsidR="00372CE2" w:rsidRDefault="006D5C0E" w:rsidP="00372CE2">
    <w:pPr>
      <w:pStyle w:val="Header"/>
      <w:rPr>
        <w:lang w:val="en-US"/>
      </w:rPr>
    </w:pPr>
    <w:r>
      <w:rPr>
        <w:noProof/>
        <w:lang w:val="en-US"/>
      </w:rPr>
      <w:drawing>
        <wp:inline distT="0" distB="0" distL="0" distR="0" wp14:anchorId="29162D09" wp14:editId="5575DA76">
          <wp:extent cx="5273675" cy="414655"/>
          <wp:effectExtent l="0" t="0" r="31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3675" cy="414655"/>
                  </a:xfrm>
                  <a:prstGeom prst="rect">
                    <a:avLst/>
                  </a:prstGeom>
                  <a:noFill/>
                </pic:spPr>
              </pic:pic>
            </a:graphicData>
          </a:graphic>
        </wp:inline>
      </w:drawing>
    </w:r>
  </w:p>
  <w:p w14:paraId="515D75F5" w14:textId="77777777" w:rsidR="00A7417C" w:rsidRDefault="00372CE2">
    <w:pPr>
      <w:pStyle w:val="Header"/>
    </w:pPr>
    <w:r w:rsidRPr="00372CE2">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A4FB0"/>
    <w:multiLevelType w:val="hybridMultilevel"/>
    <w:tmpl w:val="3F82C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4"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5" w15:restartNumberingAfterBreak="0">
    <w:nsid w:val="5CD403D7"/>
    <w:multiLevelType w:val="hybridMultilevel"/>
    <w:tmpl w:val="037E3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abstractNumId w:val="7"/>
  </w:num>
  <w:num w:numId="2">
    <w:abstractNumId w:val="6"/>
  </w:num>
  <w:num w:numId="3">
    <w:abstractNumId w:val="6"/>
  </w:num>
  <w:num w:numId="4">
    <w:abstractNumId w:val="6"/>
  </w:num>
  <w:num w:numId="5">
    <w:abstractNumId w:val="3"/>
  </w:num>
  <w:num w:numId="6">
    <w:abstractNumId w:val="4"/>
  </w:num>
  <w:num w:numId="7">
    <w:abstractNumId w:val="1"/>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DIS2"/>
  </w:docVars>
  <w:rsids>
    <w:rsidRoot w:val="000A06FE"/>
    <w:rsid w:val="00001D8E"/>
    <w:rsid w:val="000034AE"/>
    <w:rsid w:val="00005857"/>
    <w:rsid w:val="000063C0"/>
    <w:rsid w:val="00006668"/>
    <w:rsid w:val="00013BD1"/>
    <w:rsid w:val="00017F8B"/>
    <w:rsid w:val="000248FD"/>
    <w:rsid w:val="00031DA2"/>
    <w:rsid w:val="00040468"/>
    <w:rsid w:val="0004335D"/>
    <w:rsid w:val="0005313C"/>
    <w:rsid w:val="000A06FE"/>
    <w:rsid w:val="000C00A2"/>
    <w:rsid w:val="000C028F"/>
    <w:rsid w:val="000E081C"/>
    <w:rsid w:val="000E19E3"/>
    <w:rsid w:val="000F2717"/>
    <w:rsid w:val="000F2BDB"/>
    <w:rsid w:val="000F4A15"/>
    <w:rsid w:val="00101E9B"/>
    <w:rsid w:val="0011281D"/>
    <w:rsid w:val="00114985"/>
    <w:rsid w:val="0014218C"/>
    <w:rsid w:val="0015118F"/>
    <w:rsid w:val="001539C8"/>
    <w:rsid w:val="0015484C"/>
    <w:rsid w:val="0016217D"/>
    <w:rsid w:val="00183056"/>
    <w:rsid w:val="001916DD"/>
    <w:rsid w:val="001E00A2"/>
    <w:rsid w:val="00204D96"/>
    <w:rsid w:val="002119AF"/>
    <w:rsid w:val="00215EBB"/>
    <w:rsid w:val="00220756"/>
    <w:rsid w:val="0023089E"/>
    <w:rsid w:val="00264DD5"/>
    <w:rsid w:val="0027074C"/>
    <w:rsid w:val="002738E1"/>
    <w:rsid w:val="002A5587"/>
    <w:rsid w:val="002F3BD8"/>
    <w:rsid w:val="003244F5"/>
    <w:rsid w:val="00324644"/>
    <w:rsid w:val="0032707E"/>
    <w:rsid w:val="00334CE2"/>
    <w:rsid w:val="003431A8"/>
    <w:rsid w:val="00344D27"/>
    <w:rsid w:val="0034509F"/>
    <w:rsid w:val="00354313"/>
    <w:rsid w:val="00370F08"/>
    <w:rsid w:val="00372CE2"/>
    <w:rsid w:val="003A404C"/>
    <w:rsid w:val="003A5F6C"/>
    <w:rsid w:val="003A6680"/>
    <w:rsid w:val="003B4A10"/>
    <w:rsid w:val="003E3E49"/>
    <w:rsid w:val="00412F0D"/>
    <w:rsid w:val="004221C0"/>
    <w:rsid w:val="004346EE"/>
    <w:rsid w:val="00462019"/>
    <w:rsid w:val="004653AF"/>
    <w:rsid w:val="00471E72"/>
    <w:rsid w:val="0049578D"/>
    <w:rsid w:val="004A3875"/>
    <w:rsid w:val="004A5C4F"/>
    <w:rsid w:val="004B2515"/>
    <w:rsid w:val="004F228C"/>
    <w:rsid w:val="004F72B6"/>
    <w:rsid w:val="00514325"/>
    <w:rsid w:val="00516C99"/>
    <w:rsid w:val="005544C0"/>
    <w:rsid w:val="00555C50"/>
    <w:rsid w:val="00581499"/>
    <w:rsid w:val="005B68AC"/>
    <w:rsid w:val="005C6620"/>
    <w:rsid w:val="005C7568"/>
    <w:rsid w:val="005D59CA"/>
    <w:rsid w:val="005D5B47"/>
    <w:rsid w:val="005D6224"/>
    <w:rsid w:val="005F2869"/>
    <w:rsid w:val="006009BC"/>
    <w:rsid w:val="00601EAD"/>
    <w:rsid w:val="00602CC4"/>
    <w:rsid w:val="00621DC0"/>
    <w:rsid w:val="00625ED4"/>
    <w:rsid w:val="0063136D"/>
    <w:rsid w:val="006370BB"/>
    <w:rsid w:val="006462B3"/>
    <w:rsid w:val="00680837"/>
    <w:rsid w:val="006C376B"/>
    <w:rsid w:val="006C480A"/>
    <w:rsid w:val="006C7747"/>
    <w:rsid w:val="006D0B5A"/>
    <w:rsid w:val="006D37C5"/>
    <w:rsid w:val="006D5C0E"/>
    <w:rsid w:val="006D5CBC"/>
    <w:rsid w:val="006E0DF3"/>
    <w:rsid w:val="006F7A8B"/>
    <w:rsid w:val="006F7DC3"/>
    <w:rsid w:val="00710368"/>
    <w:rsid w:val="00710824"/>
    <w:rsid w:val="0071250E"/>
    <w:rsid w:val="0075229F"/>
    <w:rsid w:val="00753296"/>
    <w:rsid w:val="00767379"/>
    <w:rsid w:val="00795330"/>
    <w:rsid w:val="007B5A15"/>
    <w:rsid w:val="007B5C09"/>
    <w:rsid w:val="007B776C"/>
    <w:rsid w:val="007F08DD"/>
    <w:rsid w:val="00802CE6"/>
    <w:rsid w:val="00812011"/>
    <w:rsid w:val="00823C7C"/>
    <w:rsid w:val="00835656"/>
    <w:rsid w:val="00845C29"/>
    <w:rsid w:val="00871DB1"/>
    <w:rsid w:val="00871E1F"/>
    <w:rsid w:val="00873336"/>
    <w:rsid w:val="008776F7"/>
    <w:rsid w:val="008857F5"/>
    <w:rsid w:val="008A0403"/>
    <w:rsid w:val="008A4AB3"/>
    <w:rsid w:val="008B454E"/>
    <w:rsid w:val="008B6790"/>
    <w:rsid w:val="008C70B4"/>
    <w:rsid w:val="008F487C"/>
    <w:rsid w:val="009175A2"/>
    <w:rsid w:val="00920C37"/>
    <w:rsid w:val="00985928"/>
    <w:rsid w:val="009E1DC8"/>
    <w:rsid w:val="009E2089"/>
    <w:rsid w:val="009F56FF"/>
    <w:rsid w:val="00A003C5"/>
    <w:rsid w:val="00A04B58"/>
    <w:rsid w:val="00A208FD"/>
    <w:rsid w:val="00A26CC8"/>
    <w:rsid w:val="00A343F2"/>
    <w:rsid w:val="00A41A08"/>
    <w:rsid w:val="00A54BF4"/>
    <w:rsid w:val="00A5693B"/>
    <w:rsid w:val="00A6504D"/>
    <w:rsid w:val="00A66DB6"/>
    <w:rsid w:val="00A7417C"/>
    <w:rsid w:val="00A92BE2"/>
    <w:rsid w:val="00AA1AF7"/>
    <w:rsid w:val="00AB51F5"/>
    <w:rsid w:val="00AD24B9"/>
    <w:rsid w:val="00AD25A1"/>
    <w:rsid w:val="00AD3D57"/>
    <w:rsid w:val="00AE01B6"/>
    <w:rsid w:val="00AF0146"/>
    <w:rsid w:val="00B124C9"/>
    <w:rsid w:val="00B33ADD"/>
    <w:rsid w:val="00B33B1A"/>
    <w:rsid w:val="00B45E3C"/>
    <w:rsid w:val="00B55CFA"/>
    <w:rsid w:val="00B779D1"/>
    <w:rsid w:val="00B824BE"/>
    <w:rsid w:val="00B93286"/>
    <w:rsid w:val="00B97FAA"/>
    <w:rsid w:val="00BC4E2E"/>
    <w:rsid w:val="00BC5B75"/>
    <w:rsid w:val="00BD3C21"/>
    <w:rsid w:val="00BD5F61"/>
    <w:rsid w:val="00BE2D46"/>
    <w:rsid w:val="00BF798A"/>
    <w:rsid w:val="00C03286"/>
    <w:rsid w:val="00C3250F"/>
    <w:rsid w:val="00C3329B"/>
    <w:rsid w:val="00C42D64"/>
    <w:rsid w:val="00C501F5"/>
    <w:rsid w:val="00C57DEB"/>
    <w:rsid w:val="00CA2CCD"/>
    <w:rsid w:val="00CA679A"/>
    <w:rsid w:val="00CB4D10"/>
    <w:rsid w:val="00CC7314"/>
    <w:rsid w:val="00CD2206"/>
    <w:rsid w:val="00CF18F0"/>
    <w:rsid w:val="00D10E83"/>
    <w:rsid w:val="00D32A67"/>
    <w:rsid w:val="00D45D35"/>
    <w:rsid w:val="00D51029"/>
    <w:rsid w:val="00D56D95"/>
    <w:rsid w:val="00D56F2F"/>
    <w:rsid w:val="00D6027D"/>
    <w:rsid w:val="00D7143F"/>
    <w:rsid w:val="00D84F72"/>
    <w:rsid w:val="00D853AD"/>
    <w:rsid w:val="00D861B5"/>
    <w:rsid w:val="00D9054C"/>
    <w:rsid w:val="00DA2D52"/>
    <w:rsid w:val="00DA4DD0"/>
    <w:rsid w:val="00DC14DE"/>
    <w:rsid w:val="00DD3566"/>
    <w:rsid w:val="00DE642E"/>
    <w:rsid w:val="00DE6D80"/>
    <w:rsid w:val="00E04707"/>
    <w:rsid w:val="00E061F3"/>
    <w:rsid w:val="00E12357"/>
    <w:rsid w:val="00E163E7"/>
    <w:rsid w:val="00E23D7B"/>
    <w:rsid w:val="00E30DD1"/>
    <w:rsid w:val="00E3384E"/>
    <w:rsid w:val="00E46017"/>
    <w:rsid w:val="00E472B9"/>
    <w:rsid w:val="00E634C5"/>
    <w:rsid w:val="00E75802"/>
    <w:rsid w:val="00E82642"/>
    <w:rsid w:val="00EB7E76"/>
    <w:rsid w:val="00EC26FE"/>
    <w:rsid w:val="00EE012E"/>
    <w:rsid w:val="00EE3B45"/>
    <w:rsid w:val="00EE77D5"/>
    <w:rsid w:val="00EF0DA0"/>
    <w:rsid w:val="00F01DE0"/>
    <w:rsid w:val="00F2418F"/>
    <w:rsid w:val="00F31596"/>
    <w:rsid w:val="00F71CB3"/>
    <w:rsid w:val="00F76BC7"/>
    <w:rsid w:val="00FA14FA"/>
    <w:rsid w:val="00FC1987"/>
    <w:rsid w:val="00FC2EE3"/>
    <w:rsid w:val="00FC30DB"/>
    <w:rsid w:val="00FD05B4"/>
    <w:rsid w:val="00FD6F3F"/>
    <w:rsid w:val="00FE7E12"/>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B6DBD"/>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rPr>
  </w:style>
  <w:style w:type="paragraph" w:customStyle="1" w:styleId="frontcopyright">
    <w:name w:val="front copyright"/>
    <w:pPr>
      <w:keepNext/>
      <w:keepLines/>
      <w:framePr w:hSpace="13319" w:vSpace="14169" w:wrap="around" w:vAnchor="page" w:hAnchor="page" w:xAlign="center" w:y="14170"/>
      <w:jc w:val="center"/>
    </w:pPr>
    <w:rPr>
      <w:rFonts w:ascii="Optima" w:hAnsi="Optima"/>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rPr>
  </w:style>
  <w:style w:type="paragraph" w:customStyle="1" w:styleId="1footnotereference">
    <w:name w:val="1_footnote reference"/>
    <w:pPr>
      <w:spacing w:before="240"/>
      <w:ind w:left="1701"/>
      <w:jc w:val="both"/>
    </w:pPr>
    <w:rPr>
      <w:rFonts w:ascii="emperorPS" w:hAnsi="emperorPS"/>
      <w:position w:val="6"/>
      <w:sz w:val="16"/>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character" w:customStyle="1" w:styleId="UnresolvedMention1">
    <w:name w:val="Unresolved Mention1"/>
    <w:basedOn w:val="DefaultParagraphFont"/>
    <w:uiPriority w:val="99"/>
    <w:semiHidden/>
    <w:unhideWhenUsed/>
    <w:rsid w:val="008C70B4"/>
    <w:rPr>
      <w:color w:val="605E5C"/>
      <w:shd w:val="clear" w:color="auto" w:fill="E1DFDD"/>
    </w:rPr>
  </w:style>
  <w:style w:type="character" w:styleId="UnresolvedMention">
    <w:name w:val="Unresolved Mention"/>
    <w:basedOn w:val="DefaultParagraphFont"/>
    <w:uiPriority w:val="99"/>
    <w:semiHidden/>
    <w:unhideWhenUsed/>
    <w:rsid w:val="00753296"/>
    <w:rPr>
      <w:color w:val="605E5C"/>
      <w:shd w:val="clear" w:color="auto" w:fill="E1DFDD"/>
    </w:rPr>
  </w:style>
  <w:style w:type="table" w:styleId="TableGrid">
    <w:name w:val="Table Grid"/>
    <w:basedOn w:val="TableNormal"/>
    <w:rsid w:val="0087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003C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748354">
      <w:bodyDiv w:val="1"/>
      <w:marLeft w:val="0"/>
      <w:marRight w:val="0"/>
      <w:marTop w:val="0"/>
      <w:marBottom w:val="0"/>
      <w:divBdr>
        <w:top w:val="none" w:sz="0" w:space="0" w:color="auto"/>
        <w:left w:val="none" w:sz="0" w:space="0" w:color="auto"/>
        <w:bottom w:val="none" w:sz="0" w:space="0" w:color="auto"/>
        <w:right w:val="none" w:sz="0" w:space="0" w:color="auto"/>
      </w:divBdr>
    </w:div>
    <w:div w:id="7750993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05020860">
      <w:bodyDiv w:val="1"/>
      <w:marLeft w:val="0"/>
      <w:marRight w:val="0"/>
      <w:marTop w:val="0"/>
      <w:marBottom w:val="0"/>
      <w:divBdr>
        <w:top w:val="none" w:sz="0" w:space="0" w:color="auto"/>
        <w:left w:val="none" w:sz="0" w:space="0" w:color="auto"/>
        <w:bottom w:val="none" w:sz="0" w:space="0" w:color="auto"/>
        <w:right w:val="none" w:sz="0" w:space="0" w:color="auto"/>
      </w:divBdr>
    </w:div>
    <w:div w:id="1983002204">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 w:id="202644264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lightmed@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4DD50-9FE0-44F4-8CC2-19649C89E70B}">
  <ds:schemaRefs>
    <ds:schemaRef ds:uri="http://schemas.microsoft.com/sharepoint/v3/contenttype/forms"/>
  </ds:schemaRefs>
</ds:datastoreItem>
</file>

<file path=customXml/itemProps2.xml><?xml version="1.0" encoding="utf-8"?>
<ds:datastoreItem xmlns:ds="http://schemas.openxmlformats.org/officeDocument/2006/customXml" ds:itemID="{D178322D-66D1-4EFF-B9A3-ED9BCACF11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E3306C-6587-46DE-876E-9AF872B9D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DIS2</Template>
  <TotalTime>4</TotalTime>
  <Pages>4</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13868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PC</cp:lastModifiedBy>
  <cp:revision>3</cp:revision>
  <cp:lastPrinted>2012-09-25T12:35:00Z</cp:lastPrinted>
  <dcterms:created xsi:type="dcterms:W3CDTF">2026-05-08T09:33:00Z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ContentTypeId">
    <vt:lpwstr>0x010100724FDE23FB365D4CB8B2901107175F9F</vt:lpwstr>
  </property>
</Properties>
</file>